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72" w:lineRule="auto"/>
        <w:ind w:right="405"/>
        <w:jc w:val="center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CONSOLIDADO DEL INFORME DE GESTIÓN CONTRATO DE PRESTACIÓN DE SERVICIOS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6" w:lineRule="auto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0.0" w:type="dxa"/>
        <w:jc w:val="left"/>
        <w:tblInd w:w="269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2251"/>
        <w:gridCol w:w="2417"/>
        <w:gridCol w:w="5652"/>
        <w:tblGridChange w:id="0">
          <w:tblGrid>
            <w:gridCol w:w="2251"/>
            <w:gridCol w:w="2417"/>
            <w:gridCol w:w="565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shd w:fill="bfbfbf" w:val="clear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4" w:lineRule="auto"/>
              <w:ind w:left="397" w:firstLine="0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SECRETARIA DEL DEPORTE Y LA RECREACIÓN - SUBSECRETARIA DE FOMENTO</w:t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shd w:fill="d3d3d3" w:val="clear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6" w:lineRule="auto"/>
              <w:ind w:left="602" w:firstLine="0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13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62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OBJETO DEL CONTRATO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Prestación de servicios profesionales en la Secretaria del Deporte y la Recreación del proyecto denominado Conservación de la infraestructura deportiva y recreativa del distrito especial de Santiago de Cali – BP - 26005399 </w:t>
            </w:r>
          </w:p>
        </w:tc>
      </w:tr>
      <w:tr>
        <w:trPr>
          <w:cantSplit w:val="0"/>
          <w:trHeight w:val="55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No. Contrato</w:t>
            </w:r>
          </w:p>
        </w:tc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4162.010.26.1.5081-</w:t>
            </w:r>
          </w:p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52.00000000000003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2025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8.00000000000006" w:lineRule="auto"/>
              <w:ind w:left="6" w:right="66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Supervisor del Contrato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8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KRYSTHIAN DAVID RAMIREZ MUNEVAR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2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37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Nombre del prestador del</w:t>
            </w:r>
          </w:p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52.00000000000003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Servicio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0" w:line="237" w:lineRule="auto"/>
              <w:ind w:left="59" w:right="90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O Marcela García Peña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Cedula</w:t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1.107.072.259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Valor del contrato:</w:t>
            </w:r>
          </w:p>
        </w:tc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$11.385.000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Fecha inicio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24/nov/2025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Fecha finalización</w:t>
            </w:r>
          </w:p>
        </w:tc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31/dic/2025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109" w:firstLine="0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66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1" w:right="34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SEGURIDAD SOCIAL: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Certifico 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75" w:lineRule="auto"/>
              <w:ind w:left="51" w:firstLine="0"/>
              <w:jc w:val="both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Forma de pago: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ind w:left="5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 ) Vencida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75" w:lineRule="auto"/>
              <w:ind w:left="5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 X) Anticipada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ind w:left="5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 ) Extemporánea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37" w:lineRule="auto"/>
              <w:ind w:left="23" w:right="12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IBC (ingreso básico de cotización)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74" w:lineRule="auto"/>
              <w:ind w:left="7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$1.600.000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line="257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9495600438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No. PIN,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6" w:right="34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Autorización, Referencia, Pago</w:t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1962739902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Operador: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Aportes en Línea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Fecha de Pago</w:t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52.00000000000003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19/12/2025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Periodo de pago de la seguridad social:</w:t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8" w:lineRule="auto"/>
              <w:ind w:left="5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Diciembre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0" w:hRule="atLeast"/>
          <w:tblHeader w:val="0"/>
        </w:trPr>
        <w:tc>
          <w:tcPr>
            <w:gridSpan w:val="3"/>
            <w:tcBorders>
              <w:top w:color="000000" w:space="0" w:sz="0" w:val="nil"/>
            </w:tcBorders>
            <w:shd w:fill="bfbfbf" w:val="clea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" w:firstLine="0"/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CUOTA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S</w:t>
            </w: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 NÚMERO (1 y 2 )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6" w:right="-15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gridSpan w:val="2"/>
            <w:shd w:fill="bfbfbf" w:val="clea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596" w:firstLine="0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OBLIGACIÓN CONTRACTUAL</w:t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7" w:lineRule="auto"/>
              <w:ind w:left="1190" w:firstLine="0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ACTIVIDADES REALIZADAS</w:t>
            </w:r>
          </w:p>
        </w:tc>
      </w:tr>
      <w:tr>
        <w:trPr>
          <w:cantSplit w:val="0"/>
          <w:trHeight w:val="276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31"/>
              </w:tabs>
              <w:ind w:right="42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1.Organizar las acciones para la definición de los lineamientos estratégicos que promuevan el Desarrollo Institucional de la Secretaría del Deporte y la Recreación en cuanto a las diferentes actividades o eventos, participando en el fortalecimiento de comunidades digitales para ampliar la base de seguidores en redes sociales como: X, Facebook e IG.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42"/>
              </w:tabs>
              <w:ind w:left="-224" w:right="42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Contribuir a la generación de contenido digital orientado a la misionalidad de la Secretaría del Deporte y la Recreación de Santiago de Cali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. Durante la primera cuota, realicé diversas acciones de comunicación orientadas a ampliar el alcance y fortalecer la interacción con la ciudadanía. Publiqué piezas gráficas de invitación, así como reels y carruseles para promover eventos como Intercomunas, Afro colonias, el Bike Park Fest y la carrera 4.2K Ladera. Además, generé contenido previo a cada actividad, hice la cobertura durante la entrega de kits y el desarrollo de los eventos mencionados, y elaboré un recap final para potenciar su difusión en los canales digitales institucionales.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spacing w:after="280" w:before="28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 la segunda cuota, ejecuté la estrategia de fortalecimiento de la comunicación institucional, basada en la planificación anticipada y la producción de contenidos oportunos para las plataformas digitales de la Secretaría del Deporte. Como parte del plan de acción, realicé seguimiento a los proyectos y actividades del área y participé en reuniones de coordinación que buscaban asegurar coherencia, enfoque y alineación con los objetivos de la entidad. Entre las acciones relevantes, gestioné la divulgación de la ampliación de la Ciclo vida a 58 km, estructurada por tramos según comunas y barrios. Asimismo, cubrí el evento de certificación de la Vía de Oro, aportando en la planeación del reel publicado en redes sociales, además de crear historias y redactar el copy oficial de la publicación.</w:t>
            </w:r>
          </w:p>
          <w:p w:rsidR="00000000" w:rsidDel="00000000" w:rsidP="00000000" w:rsidRDefault="00000000" w:rsidRPr="00000000" w14:paraId="0000006B">
            <w:pPr>
              <w:widowControl w:val="1"/>
              <w:spacing w:after="280" w:before="28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Todas estas actividades, desarrolladas en ambas cuotas, contribuyeron al fortalecimiento de la presencia digital de la Secretaría, a la visibilización de los avances en infraestructura deportiva y a ofrecer información clara, precisa y oportuna para la ciudadanía. El enfoque estratégico que apliqué permitió mejorar la interacción con las comunidades y posicionar de manera efectiva los logros institucionales.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2. Durante la primera cuota, cubrí las actividades de los eventos Intercomunas, Afro colonias, Bike Park Fest y la Run Ladera 4.2K, generando contenido dinámico y oportuno para fortalecer la presencia digital de la Secretaría. Realicé y publiqué historias diseñadas para incentivar la interacción con la ciudadanía, logrando ampliar la base activa de seguidores y promover la participación en cada uno de los eventos.</w:t>
            </w:r>
          </w:p>
          <w:p w:rsidR="00000000" w:rsidDel="00000000" w:rsidP="00000000" w:rsidRDefault="00000000" w:rsidRPr="00000000" w14:paraId="0000006D">
            <w:pPr>
              <w:widowControl w:val="1"/>
              <w:spacing w:after="280" w:before="28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 la segunda cuota, contribuí a la producción de contenido digital alineado con la misionalidad de la Secretaría del Deporte y la Recreación de Santiago de Cali, fortaleciendo la divulgación de las acciones institucionales. Elaboré historias para la rendición de cuentas y para la certificación de la Vía de Oro, resaltando la ampliación de la Ciclo vida a 58 km como un logro destacado para la movilidad activa y recreativa de la ciudad. Asimismo, grabé el video de invitación a las eliminatorias FIBA rumbo al Mundial Catar 2027 entre Colombia y Venezuela, desarrollando también el guion que dio estructura a la pieza audiovisual. Estas acciones permitieron consolidar contenidos estratégicos que impulsan la participación ciudadana, potencian la comunicación institucional y visibilizan los avances, eventos y logros deportivos promovidos por la Secretaría.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b w:val="1"/>
          <w:bCs w:val="1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20.0" w:type="dxa"/>
        <w:jc w:val="left"/>
        <w:tblInd w:w="269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4661"/>
        <w:gridCol w:w="5659"/>
        <w:tblGridChange w:id="0">
          <w:tblGrid>
            <w:gridCol w:w="4661"/>
            <w:gridCol w:w="5659"/>
          </w:tblGrid>
        </w:tblGridChange>
      </w:tblGrid>
      <w:tr>
        <w:trPr>
          <w:cantSplit w:val="0"/>
          <w:trHeight w:val="1104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874"/>
                <w:tab w:val="left" w:leader="none" w:pos="1962"/>
                <w:tab w:val="left" w:leader="none" w:pos="2302"/>
                <w:tab w:val="left" w:leader="none" w:pos="3243"/>
                <w:tab w:val="left" w:leader="none" w:pos="3904"/>
                <w:tab w:val="left" w:leader="none" w:pos="4391"/>
              </w:tabs>
              <w:spacing w:line="274" w:lineRule="auto"/>
              <w:ind w:left="54" w:right="35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Realizar publicaciones en las redes sociales de la Secretaría del Deporte y la Recreación de Santiago de Cali para: informar a la ciudadanía, promover la participación de la comunidad, visibilizar la gestión institucional y fortalecer la imagen de la entidad.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1" w:right="35" w:hanging="267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Durante la primera cuota del contrato, realicé publicaciones en historias sobre los Juegos Intercomunas —incluyendo el torneo de baloncesto—, la inauguración de Afro colonias y el Bike Park Fest, con el propósito de informar, entretener y generar interacción con la audiencia de las redes de la Secretaría del Deporte.</w:t>
              <w:br w:type="textWrapping"/>
              <w:t xml:space="preserve">Asimismo, publiqué historias con dinámicas como cajas de preguntas, entre ellas “¿Están listos para la próxima carrera?”, para promover la Carrera de la Mujer y motivar la participación digital de la comunidad.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35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35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 la segunda cuota, contribuí a la generación de contenido digital alineado con la misionalidad de la Secretaría del Deporte y la Recreación de Santiago de Cali, fortaleciendo la difusión de las acciones institucionales. Elaboré historias para la rendición de cuentas y para la certificación de la Vía de Oro, resaltando la ampliación de la Ciclo vida a 58 km como un logro significativo para la movilidad activa y recreativa de la ciudad.</w:t>
              <w:br w:type="textWrapping"/>
              <w:t xml:space="preserve">Además, realicé la grabación del video de invitación a las eliminatorias FIBA rumbo al Mundial Catar 2027 entre Colombia y Venezuela, creando también el guion que estructuró su desarrollo. Estas acciones permitieron consolidar contenidos audiovisuales estratégicos que fomentan la participación ciudadana y visibilizan los avances y eventos deportivos liderados por la Secretaría.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34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73" w:lineRule="auto"/>
              <w:ind w:right="35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73" w:lineRule="auto"/>
              <w:ind w:right="35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Contribuir en la generación de “copies” y publicaciones para piezas gráficas y audiovisuales destinadas a fomentar la interacción de la ciudadanía con la Secretaría a través de las redes sociales.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59" w:lineRule="auto"/>
              <w:ind w:left="54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 Durante la</w:t>
            </w: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primera cuota del contrato</w:t>
            </w: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,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realicé la elaboración de los siguientes copies para redes sociales:</w:t>
            </w:r>
          </w:p>
          <w:p w:rsidR="00000000" w:rsidDel="00000000" w:rsidP="00000000" w:rsidRDefault="00000000" w:rsidRPr="00000000" w14:paraId="00000079">
            <w:pPr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i w:val="1"/>
                <w:i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Juegos Intercomunas: Copy para la inauguración del Torneo de Baloncesto en el coliseo Evangelista Mora.</w:t>
              <w:br w:type="textWrapping"/>
              <w:t xml:space="preserve">Link:</w:t>
            </w:r>
            <w:hyperlink r:id="rId7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https://www.instagram.com/p/DQz-5sXDqpP/?igsh=MTl6c2NlYWYzeDRkeg==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Inauguración de Afro-colonias: Copy informativo para la apertura del evento.</w:t>
              <w:br w:type="textWrapping"/>
              <w:t xml:space="preserve">Link: </w:t>
            </w:r>
            <w:hyperlink r:id="rId8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https://www.instagram.com/reel/DQ2Vu8JkXS1/?igsh=aWZwMjB0d29zZXds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Cali Bike Park Fest</w:t>
            </w: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Copy promocional para destacar la realización del festival.</w:t>
              <w:br w:type="textWrapping"/>
              <w:t xml:space="preserve">Link: </w:t>
            </w:r>
            <w:hyperlink r:id="rId9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https://www.instagram.com/p/DRFjNJkDh8y/?igsh=MXFpcXBwZTh3NDU0aQ==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Estos contenidos fueron desarrollados con el objetivo de informar oportunamente, dinamizar la interacción de la audiencia y fortalecer la presencia digital de la Secretaría del Deporte.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Durante la segunda cuota del contrato, elaboré los siguientes copies: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left="720" w:right="59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Día Internacional para la Eliminación de la Violencia contra la Mujer (25 de noviembre)</w:t>
            </w: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Copy orientado a visibilizar el compromiso institucional con la construcción de espacios seguros, igualitarios y libres de violencia.</w:t>
              <w:br w:type="textWrapping"/>
              <w:t xml:space="preserve">Link: </w:t>
            </w:r>
            <w:hyperlink r:id="rId10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https://www.instagram.com/reel/DRftlzZjgFM/?igsh=MWkya3dhMTN5NTJucg==</w:t>
              </w:r>
            </w:hyperlink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left="720" w:right="590" w:hanging="36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Eliminatorias FIBA rumbo al Mundial Catar 2027</w:t>
            </w: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Copy para la invitación al partido entre Colombia y Venezuela, realizado en el coliseo Evangelista Mora.</w:t>
              <w:br w:type="textWrapping"/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left="720" w:right="59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Link:  </w:t>
            </w:r>
            <w:hyperlink r:id="rId11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https://www.instagram.com/reel/DRkeiA2Dgh-/?igsh=dTN3aXNyNDZzM21x</w:t>
              </w:r>
            </w:hyperlink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Certificación de la Vía de Oro (30 de noviembre)</w:t>
            </w: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Copy para resaltar este logro institucional, destacando la ampliación de la Ciclo vida a 58 km como un avance significativo en movilidad activa y recreativa.</w:t>
              <w:br w:type="textWrapping"/>
              <w:t xml:space="preserve">Link: PENDIENTE</w:t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Estos contenidos permitieron fortalecer la difusión de acciones estratégicas de la Secretaría, aportando a la visibilidad institucional y promoviendo la participación ciudadana en los diferentes escenarios deportivos y recreativos.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right="59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right="59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"/>
              </w:tabs>
              <w:ind w:left="58" w:right="59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Asistir en la atención efectiva de consultas y comentarios de la ciudadanía a través de las redes sociales, manteniendo un tono adecuado y proporcionando respuestas oportunas y útiles.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403"/>
              </w:tabs>
              <w:spacing w:before="275" w:line="237" w:lineRule="auto"/>
              <w:ind w:right="35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6. Asistir a las reuniones y consejos de redacción programados por el coordinador del área de comunicaciones de la Secretaría del Deporte y la Recreación de Santiago de Cali.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Durante la primera cuota del contrato, asistí en la atención de consultas recibidas a través de mensajes internos y comentarios en las redes sociales de la Secretaría. Brindé respuestas oportunas, respetuosas y ajustadas a las necesidades de la audiencia, ofreciendo información clara y útil para resolver inquietudes y orientar correctamente a la ciudadanía.</w:t>
            </w:r>
          </w:p>
          <w:p w:rsidR="00000000" w:rsidDel="00000000" w:rsidP="00000000" w:rsidRDefault="00000000" w:rsidRPr="00000000" w14:paraId="00000090">
            <w:pPr>
              <w:widowControl w:val="1"/>
              <w:spacing w:after="280" w:before="28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Durante la segunda cuota, continué apoyando este proceso de atención digital, manteniendo la misma línea de respuesta oportuna, empática y coherente con la comunicación institucional. Mi labor contribuyó a mejorar la interacción con los usuarios, fortalecer la confianza en los canales oficiales y garantizar una atención efectiva y alineada con los objetivos de la Secretaría.</w:t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Durante la primera cuota del contrato, asistí a las reuniones y consejos de redacción convocados por el coordinador del área de Comunicaciones de la Secretaría del Deporte y la Recreación de Santiago de Cali, participando activamente en la revisión de contenidos, la organización de temas y la planificación semanal de las acciones comunicativas.</w:t>
            </w:r>
          </w:p>
          <w:p w:rsidR="00000000" w:rsidDel="00000000" w:rsidP="00000000" w:rsidRDefault="00000000" w:rsidRPr="00000000" w14:paraId="00000092">
            <w:pPr>
              <w:widowControl w:val="1"/>
              <w:spacing w:after="280" w:before="28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 la segunda cuota, continué participando en estos espacios de coordinación, aportando a la definición de prioridades, al ajuste de estrategias y a la articulación del equipo para garantizar coherencia, oportunidad y alineación con los objetivos institucionales. Mi presencia constante permitió mantener un flujo de trabajo organizado y contribuir a la ejecución efectiva del plan comunicacional.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MEDIO DE VERIFICACIÓN:</w:t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42" w:lineRule="auto"/>
              <w:ind w:right="75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42" w:lineRule="auto"/>
              <w:ind w:right="75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42" w:lineRule="auto"/>
              <w:ind w:left="10" w:right="75" w:firstLine="0"/>
              <w:rPr>
                <w:sz w:val="24"/>
                <w:szCs w:val="24"/>
              </w:rPr>
            </w:pPr>
            <w:hyperlink r:id="rId12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https://drive.google.com/drive/folders/1-WbLAK0PGZ6XpSAFYHUAn4nZREgXGh9A</w:t>
              </w:r>
            </w:hyperlink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OBSERVACIONES:</w:t>
            </w:r>
          </w:p>
        </w:tc>
        <w:tc>
          <w:tcPr/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4" w:lineRule="auto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FIRMA DEL PRESTADOR DEL SERVICIO:</w:t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327025</wp:posOffset>
                  </wp:positionH>
                  <wp:positionV relativeFrom="paragraph">
                    <wp:posOffset>161925</wp:posOffset>
                  </wp:positionV>
                  <wp:extent cx="2981325" cy="1764813"/>
                  <wp:effectExtent b="0" l="0" r="0" t="0"/>
                  <wp:wrapTopAndBottom distB="0" distT="0"/>
                  <wp:docPr id="1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17648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4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0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TRANSACCIÓN:</w:t>
            </w:r>
          </w:p>
        </w:tc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1" w:lineRule="auto"/>
              <w:ind w:left="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19/Dic/2025</w:t>
            </w:r>
          </w:p>
        </w:tc>
      </w:tr>
    </w:tbl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sectPr>
      <w:footerReference r:id="rId14" w:type="default"/>
      <w:pgSz w:h="15840" w:w="12240" w:orient="portrait"/>
      <w:pgMar w:bottom="680" w:top="1200" w:left="720" w:right="720" w:header="0" w:footer="4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6353176</wp:posOffset>
              </wp:positionH>
              <wp:positionV relativeFrom="paragraph">
                <wp:posOffset>9566275</wp:posOffset>
              </wp:positionV>
              <wp:extent cx="527684" cy="206375"/>
              <wp:effectExtent b="0" l="0" r="0" t="0"/>
              <wp:wrapNone/>
              <wp:docPr id="10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05971" y="3700625"/>
                        <a:ext cx="480059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2.000000476837158" w:line="240"/>
                            <w:ind w:left="20" w:right="0" w:firstLine="10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Pag  PAGE 1 de  NUMPAGES 2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6353176</wp:posOffset>
              </wp:positionH>
              <wp:positionV relativeFrom="paragraph">
                <wp:posOffset>9566275</wp:posOffset>
              </wp:positionV>
              <wp:extent cx="527684" cy="206375"/>
              <wp:effectExtent b="0" l="0" r="0" t="0"/>
              <wp:wrapNone/>
              <wp:docPr id="10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7684" cy="2063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1" w:hanging="267"/>
      </w:pPr>
      <w:rPr>
        <w:rFonts w:ascii="Arial" w:cs="Arial" w:eastAsia="Arial" w:hAnsi="Arial"/>
        <w:b w:val="0"/>
        <w:bCs w:val="0"/>
        <w:i w:val="0"/>
        <w:iCs w:val="0"/>
        <w:sz w:val="24"/>
        <w:szCs w:val="24"/>
      </w:rPr>
    </w:lvl>
    <w:lvl w:ilvl="1">
      <w:start w:val="0"/>
      <w:numFmt w:val="bullet"/>
      <w:lvlText w:val="•"/>
      <w:lvlJc w:val="left"/>
      <w:pPr>
        <w:ind w:left="614" w:hanging="267"/>
      </w:pPr>
      <w:rPr/>
    </w:lvl>
    <w:lvl w:ilvl="2">
      <w:start w:val="0"/>
      <w:numFmt w:val="bullet"/>
      <w:lvlText w:val="•"/>
      <w:lvlJc w:val="left"/>
      <w:pPr>
        <w:ind w:left="1169" w:hanging="267"/>
      </w:pPr>
      <w:rPr/>
    </w:lvl>
    <w:lvl w:ilvl="3">
      <w:start w:val="0"/>
      <w:numFmt w:val="bullet"/>
      <w:lvlText w:val="•"/>
      <w:lvlJc w:val="left"/>
      <w:pPr>
        <w:ind w:left="1724" w:hanging="266"/>
      </w:pPr>
      <w:rPr/>
    </w:lvl>
    <w:lvl w:ilvl="4">
      <w:start w:val="0"/>
      <w:numFmt w:val="bullet"/>
      <w:lvlText w:val="•"/>
      <w:lvlJc w:val="left"/>
      <w:pPr>
        <w:ind w:left="2278" w:hanging="265"/>
      </w:pPr>
      <w:rPr/>
    </w:lvl>
    <w:lvl w:ilvl="5">
      <w:start w:val="0"/>
      <w:numFmt w:val="bullet"/>
      <w:lvlText w:val="•"/>
      <w:lvlJc w:val="left"/>
      <w:pPr>
        <w:ind w:left="2833" w:hanging="267"/>
      </w:pPr>
      <w:rPr/>
    </w:lvl>
    <w:lvl w:ilvl="6">
      <w:start w:val="0"/>
      <w:numFmt w:val="bullet"/>
      <w:lvlText w:val="•"/>
      <w:lvlJc w:val="left"/>
      <w:pPr>
        <w:ind w:left="3388" w:hanging="267"/>
      </w:pPr>
      <w:rPr/>
    </w:lvl>
    <w:lvl w:ilvl="7">
      <w:start w:val="0"/>
      <w:numFmt w:val="bullet"/>
      <w:lvlText w:val="•"/>
      <w:lvlJc w:val="left"/>
      <w:pPr>
        <w:ind w:left="3942" w:hanging="267"/>
      </w:pPr>
      <w:rPr/>
    </w:lvl>
    <w:lvl w:ilvl="8">
      <w:start w:val="0"/>
      <w:numFmt w:val="bullet"/>
      <w:lvlText w:val="•"/>
      <w:lvlJc w:val="left"/>
      <w:pPr>
        <w:ind w:left="4497" w:hanging="267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b w:val="1"/>
      <w:bCs w:val="1"/>
      <w:sz w:val="24"/>
      <w:szCs w:val="24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A90A0C"/>
    <w:rPr>
      <w:color w:val="0000ff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A90A0C"/>
    <w:rPr>
      <w:color w:val="605e5c"/>
      <w:shd w:color="auto" w:fill="e1dfdd" w:val="clear"/>
    </w:rPr>
  </w:style>
  <w:style w:type="table" w:styleId="a" w:customStyle="1">
    <w:basedOn w:val="TableNormal3"/>
    <w:tblPr>
      <w:tblStyleRowBandSize w:val="1"/>
      <w:tblStyleColBandSize w:val="1"/>
    </w:tblPr>
  </w:style>
  <w:style w:type="table" w:styleId="a0" w:customStyle="1">
    <w:basedOn w:val="TableNormal3"/>
    <w:tblPr>
      <w:tblStyleRowBandSize w:val="1"/>
      <w:tblStyleColBandSize w:val="1"/>
    </w:tblPr>
  </w:style>
  <w:style w:type="table" w:styleId="a1" w:customStyle="1">
    <w:basedOn w:val="TableNormal2"/>
    <w:tblPr>
      <w:tblStyleRowBandSize w:val="1"/>
      <w:tblStyleColBandSize w:val="1"/>
    </w:tblPr>
  </w:style>
  <w:style w:type="table" w:styleId="a2" w:customStyle="1">
    <w:basedOn w:val="TableNormal2"/>
    <w:tblPr>
      <w:tblStyleRowBandSize w:val="1"/>
      <w:tblStyleColBandSize w:val="1"/>
    </w:tblPr>
  </w:style>
  <w:style w:type="table" w:styleId="a3" w:customStyle="1">
    <w:basedOn w:val="TableNormal1"/>
    <w:tblPr>
      <w:tblStyleRowBandSize w:val="1"/>
      <w:tblStyleColBandSize w:val="1"/>
    </w:tblPr>
  </w:style>
  <w:style w:type="table" w:styleId="a4" w:customStyle="1">
    <w:basedOn w:val="TableNormal1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 w:val="1"/>
    <w:rsid w:val="00F7461F"/>
    <w:pPr>
      <w:widowControl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E62CD2"/>
    <w:rPr>
      <w:b w:val="1"/>
      <w:bCs w:val="1"/>
    </w:rPr>
  </w:style>
  <w:style w:type="character" w:styleId="nfasis">
    <w:name w:val="Emphasis"/>
    <w:basedOn w:val="Fuentedeprrafopredeter"/>
    <w:uiPriority w:val="20"/>
    <w:qFormat w:val="1"/>
    <w:rsid w:val="00CC7A06"/>
    <w:rPr>
      <w:i w:val="1"/>
      <w:iCs w:val="1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65737B"/>
    <w:rPr>
      <w:color w:val="605e5c"/>
      <w:shd w:color="auto" w:fill="e1dfdd" w:val="clear"/>
    </w:rPr>
  </w:style>
  <w:style w:type="table" w:styleId="a5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reel/DRkeiA2Dgh-/?igsh=dTN3aXNyNDZzM21x" TargetMode="External"/><Relationship Id="rId10" Type="http://schemas.openxmlformats.org/officeDocument/2006/relationships/hyperlink" Target="https://www.instagram.com/reel/DRftlzZjgFM/?igsh=MWkya3dhMTN5NTJucg==" TargetMode="External"/><Relationship Id="rId13" Type="http://schemas.openxmlformats.org/officeDocument/2006/relationships/image" Target="media/image1.png"/><Relationship Id="rId12" Type="http://schemas.openxmlformats.org/officeDocument/2006/relationships/hyperlink" Target="https://drive.google.com/drive/folders/1-WbLAK0PGZ6XpSAFYHUAn4nZREgXGh9A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stagram.com/p/DRFjNJkDh8y/?igsh=MXFpcXBwZTh3NDU0aQ==" TargetMode="Externa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instagram.com/p/DQz-5sXDqpP/?igsh=MTl6c2NlYWYzeDRkeg==" TargetMode="External"/><Relationship Id="rId8" Type="http://schemas.openxmlformats.org/officeDocument/2006/relationships/hyperlink" Target="https://www.instagram.com/reel/DQ2Vu8JkXS1/?igsh=aWZwMjB0d29zZXd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cdFUD4/K5qEXR0SHrdYME93s1Q==">CgMxLjA4AHIhMWFaVTl1YUhNdC10WnZJd2ViN0dKdzBSTmZudjRJaEVk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2025-11-19T21:43:00Z</dcterms:created>
  <dc:creator>Deportes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Word</vt:lpwstr>
  </property>
  <property fmtid="{D5CDD505-2E9C-101B-9397-08002B2CF9AE}" pid="4" name="LastSaved">
    <vt:filetime>2025-07-02T00:00:00Z</vt:filetime>
  </property>
  <property fmtid="{D5CDD505-2E9C-101B-9397-08002B2CF9AE}" pid="5" name="Producer">
    <vt:lpwstr>macOS Versión 10.15.7 (Fase 19H2026) Quartz PDFContext</vt:lpwstr>
  </property>
</Properties>
</file>